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w:t>
      </w:r>
      <w:proofErr w:type="gramStart"/>
      <w:r w:rsidR="00465CCF" w:rsidRPr="0070240D">
        <w:t>del mismo</w:t>
      </w:r>
      <w:proofErr w:type="gramEnd"/>
      <w:r w:rsidR="00465CCF" w:rsidRPr="0070240D">
        <w:t xml:space="preserve">,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w:t>
      </w:r>
      <w:proofErr w:type="gramStart"/>
      <w:r w:rsidRPr="0070240D">
        <w:t>de acuerdo a</w:t>
      </w:r>
      <w:proofErr w:type="gramEnd"/>
      <w:r w:rsidRPr="0070240D">
        <w:t xml:space="preserve">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 xml:space="preserve">Nota: En los servicios de prestación periódica, la recepción de servicio se puede realizar también periódicamente, </w:t>
      </w:r>
      <w:proofErr w:type="gramStart"/>
      <w:r w:rsidRPr="0070240D">
        <w:rPr>
          <w:b/>
          <w:bCs/>
          <w:color w:val="00B050"/>
        </w:rPr>
        <w:t>de acuerdo a</w:t>
      </w:r>
      <w:proofErr w:type="gramEnd"/>
      <w:r w:rsidRPr="0070240D">
        <w:rPr>
          <w:b/>
          <w:bCs/>
          <w:color w:val="00B050"/>
        </w:rPr>
        <w:t xml:space="preserve">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w:t>
      </w:r>
      <w:proofErr w:type="gramStart"/>
      <w:r w:rsidRPr="0070240D">
        <w:rPr>
          <w:color w:val="0000FF"/>
        </w:rPr>
        <w:t>los mismos</w:t>
      </w:r>
      <w:proofErr w:type="gramEnd"/>
      <w:r w:rsidRPr="0070240D">
        <w:rPr>
          <w:color w:val="0000FF"/>
        </w:rPr>
        <w:t xml:space="preserve">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 xml:space="preserve">No ha iniciado el suministro del servicio contratado o ha suspendido el progreso </w:t>
      </w:r>
      <w:proofErr w:type="gramStart"/>
      <w:r w:rsidRPr="0070240D">
        <w:rPr>
          <w:color w:val="0000FF"/>
        </w:rPr>
        <w:t>del mismo</w:t>
      </w:r>
      <w:proofErr w:type="gramEnd"/>
      <w:r w:rsidRPr="0070240D">
        <w:rPr>
          <w:color w:val="0000FF"/>
        </w:rPr>
        <w:t xml:space="preserve">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w:t>
      </w:r>
      <w:proofErr w:type="gramStart"/>
      <w:r w:rsidRPr="0070240D">
        <w:t>los mismos</w:t>
      </w:r>
      <w:proofErr w:type="gramEnd"/>
      <w:r w:rsidRPr="0070240D">
        <w:t xml:space="preserve">.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w:t>
      </w:r>
      <w:proofErr w:type="gramStart"/>
      <w:r w:rsidRPr="0070240D">
        <w:t>del mismo</w:t>
      </w:r>
      <w:proofErr w:type="gramEnd"/>
      <w:r w:rsidRPr="0070240D">
        <w:t xml:space="preserve">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5CF7BF15" w:rsidR="009134A6" w:rsidRPr="0070240D" w:rsidRDefault="009134A6" w:rsidP="00465CCF">
      <w:pPr>
        <w:rPr>
          <w:b/>
          <w:color w:val="000000"/>
          <w:lang w:val="es-ES"/>
        </w:rPr>
      </w:pPr>
      <w:r w:rsidRPr="009134A6">
        <w:rPr>
          <w:b/>
          <w:noProof/>
          <w:color w:val="000000"/>
          <w:lang w:val="es-ES"/>
        </w:rPr>
        <w:lastRenderedPageBreak/>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p>
    <w:sectPr w:rsidR="009134A6" w:rsidRPr="0070240D" w:rsidSect="008A0190">
      <w:footerReference w:type="default" r:id="rId9"/>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4879A" w14:textId="77777777" w:rsidR="003B0600" w:rsidRDefault="003B0600" w:rsidP="00465CCF">
      <w:r>
        <w:separator/>
      </w:r>
    </w:p>
  </w:endnote>
  <w:endnote w:type="continuationSeparator" w:id="0">
    <w:p w14:paraId="6DB9027B" w14:textId="77777777" w:rsidR="003B0600" w:rsidRDefault="003B0600"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Arial"/>
    <w:panose1 w:val="020B07040202020202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Content>
      <w:sdt>
        <w:sdtPr>
          <w:rPr>
            <w:sz w:val="20"/>
            <w:szCs w:val="20"/>
          </w:rPr>
          <w:id w:val="-1769616900"/>
          <w:docPartObj>
            <w:docPartGallery w:val="Page Numbers (Top of Page)"/>
            <w:docPartUnique/>
          </w:docPartObj>
        </w:sdt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5FA58" w14:textId="77777777" w:rsidR="003B0600" w:rsidRDefault="003B0600" w:rsidP="00465CCF">
      <w:r>
        <w:separator/>
      </w:r>
    </w:p>
  </w:footnote>
  <w:footnote w:type="continuationSeparator" w:id="0">
    <w:p w14:paraId="566F0BBF" w14:textId="77777777" w:rsidR="003B0600" w:rsidRDefault="003B0600"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3"/>
  </w:num>
  <w:num w:numId="12" w16cid:durableId="270205533">
    <w:abstractNumId w:val="10"/>
  </w:num>
  <w:num w:numId="13" w16cid:durableId="2116361074">
    <w:abstractNumId w:val="12"/>
  </w:num>
  <w:num w:numId="14" w16cid:durableId="996571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B0600"/>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319F"/>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45178"/>
    <w:rsid w:val="00D50F7D"/>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7677</Words>
  <Characters>42228</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Ingrid Genao</cp:lastModifiedBy>
  <cp:revision>1</cp:revision>
  <cp:lastPrinted>2024-03-01T14:37:00Z</cp:lastPrinted>
  <dcterms:created xsi:type="dcterms:W3CDTF">2024-03-05T14:46:00Z</dcterms:created>
  <dcterms:modified xsi:type="dcterms:W3CDTF">2025-05-15T23:32:00Z</dcterms:modified>
</cp:coreProperties>
</file>